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kern w:val="0"/>
          <w:sz w:val="28"/>
          <w:szCs w:val="28"/>
        </w:rPr>
      </w:pPr>
      <w:bookmarkStart w:id="0" w:name="_GoBack"/>
      <w:bookmarkEnd w:id="0"/>
      <w:r>
        <w:rPr>
          <w:rFonts w:hint="eastAsia" w:ascii="仿宋" w:hAnsi="仿宋" w:eastAsia="仿宋" w:cs="仿宋"/>
          <w:kern w:val="0"/>
          <w:sz w:val="28"/>
          <w:szCs w:val="28"/>
        </w:rPr>
        <w:t>附件</w:t>
      </w:r>
      <w:r>
        <w:rPr>
          <w:rFonts w:ascii="仿宋" w:hAnsi="仿宋" w:eastAsia="仿宋" w:cs="仿宋"/>
          <w:kern w:val="0"/>
          <w:sz w:val="28"/>
          <w:szCs w:val="28"/>
        </w:rPr>
        <w:t>1</w:t>
      </w:r>
    </w:p>
    <w:p>
      <w:pPr>
        <w:jc w:val="center"/>
        <w:rPr>
          <w:rFonts w:ascii="宋体" w:cs="宋体"/>
          <w:b/>
          <w:bCs/>
          <w:kern w:val="0"/>
          <w:sz w:val="36"/>
          <w:szCs w:val="36"/>
        </w:rPr>
      </w:pPr>
      <w:r>
        <w:rPr>
          <w:rFonts w:hint="eastAsia" w:ascii="宋体" w:hAnsi="宋体" w:cs="宋体"/>
          <w:b/>
          <w:bCs/>
          <w:kern w:val="0"/>
          <w:sz w:val="36"/>
          <w:szCs w:val="36"/>
        </w:rPr>
        <w:t>福建省工程监理与项目管理协会</w:t>
      </w:r>
    </w:p>
    <w:p>
      <w:pPr>
        <w:jc w:val="center"/>
        <w:rPr>
          <w:rFonts w:ascii="宋体" w:cs="宋体"/>
          <w:b/>
          <w:bCs/>
          <w:kern w:val="0"/>
          <w:sz w:val="36"/>
          <w:szCs w:val="36"/>
        </w:rPr>
      </w:pPr>
      <w:r>
        <w:rPr>
          <w:rFonts w:hint="eastAsia" w:ascii="宋体" w:hAnsi="宋体" w:cs="宋体"/>
          <w:b/>
          <w:bCs/>
          <w:kern w:val="0"/>
          <w:sz w:val="36"/>
          <w:szCs w:val="36"/>
        </w:rPr>
        <w:t>会员单位资质情况核查表</w:t>
      </w:r>
    </w:p>
    <w:p>
      <w:pPr>
        <w:rPr>
          <w:rFonts w:ascii="宋体" w:cs="宋体"/>
          <w:b/>
          <w:bCs/>
          <w:kern w:val="0"/>
          <w:sz w:val="36"/>
          <w:szCs w:val="36"/>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6"/>
        <w:gridCol w:w="3186"/>
        <w:gridCol w:w="2031"/>
        <w:gridCol w:w="2031"/>
        <w:gridCol w:w="2032"/>
        <w:gridCol w:w="2032"/>
        <w:gridCol w:w="2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l2br w:val="nil"/>
              <w:tr2bl w:val="nil"/>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3186" w:type="dxa"/>
            <w:tcBorders>
              <w:tl2br w:val="nil"/>
              <w:tr2bl w:val="nil"/>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单位名称</w:t>
            </w:r>
          </w:p>
        </w:tc>
        <w:tc>
          <w:tcPr>
            <w:tcW w:w="2031" w:type="dxa"/>
            <w:tcBorders>
              <w:tl2br w:val="nil"/>
              <w:tr2bl w:val="nil"/>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资质等级</w:t>
            </w:r>
          </w:p>
        </w:tc>
        <w:tc>
          <w:tcPr>
            <w:tcW w:w="2031" w:type="dxa"/>
            <w:tcBorders>
              <w:tl2br w:val="nil"/>
              <w:tr2bl w:val="nil"/>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注册人员</w:t>
            </w:r>
          </w:p>
        </w:tc>
        <w:tc>
          <w:tcPr>
            <w:tcW w:w="2032" w:type="dxa"/>
            <w:tcBorders>
              <w:tl2br w:val="nil"/>
              <w:tr2bl w:val="nil"/>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社保情况</w:t>
            </w:r>
          </w:p>
        </w:tc>
        <w:tc>
          <w:tcPr>
            <w:tcW w:w="2032" w:type="dxa"/>
            <w:tcBorders>
              <w:tl2br w:val="nil"/>
              <w:tr2bl w:val="nil"/>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公司管理制度</w:t>
            </w:r>
          </w:p>
        </w:tc>
        <w:tc>
          <w:tcPr>
            <w:tcW w:w="2032" w:type="dxa"/>
            <w:tcBorders>
              <w:tl2br w:val="nil"/>
              <w:tr2bl w:val="nil"/>
            </w:tcBorders>
            <w:vAlign w:val="center"/>
          </w:tcPr>
          <w:p>
            <w:pPr>
              <w:jc w:val="center"/>
              <w:rPr>
                <w:rFonts w:ascii="仿宋" w:hAnsi="仿宋" w:eastAsia="仿宋" w:cs="仿宋"/>
                <w:kern w:val="0"/>
                <w:sz w:val="28"/>
                <w:szCs w:val="28"/>
              </w:rPr>
            </w:pPr>
            <w:r>
              <w:rPr>
                <w:rFonts w:hint="eastAsia" w:ascii="仿宋" w:hAnsi="仿宋" w:eastAsia="仿宋" w:cs="仿宋"/>
                <w:kern w:val="0"/>
                <w:sz w:val="28"/>
                <w:szCs w:val="28"/>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l2br w:val="nil"/>
              <w:tr2bl w:val="nil"/>
            </w:tcBorders>
            <w:vAlign w:val="center"/>
          </w:tcPr>
          <w:p>
            <w:pPr>
              <w:jc w:val="center"/>
              <w:rPr>
                <w:rFonts w:ascii="仿宋" w:hAnsi="仿宋" w:eastAsia="仿宋" w:cs="仿宋"/>
                <w:kern w:val="0"/>
                <w:sz w:val="28"/>
                <w:szCs w:val="28"/>
              </w:rPr>
            </w:pPr>
          </w:p>
        </w:tc>
        <w:tc>
          <w:tcPr>
            <w:tcW w:w="3186" w:type="dxa"/>
            <w:tcBorders>
              <w:tl2br w:val="nil"/>
              <w:tr2bl w:val="nil"/>
            </w:tcBorders>
            <w:vAlign w:val="center"/>
          </w:tcPr>
          <w:p>
            <w:pPr>
              <w:jc w:val="center"/>
              <w:rPr>
                <w:rFonts w:ascii="仿宋" w:hAnsi="仿宋" w:eastAsia="仿宋" w:cs="仿宋"/>
                <w:kern w:val="0"/>
                <w:sz w:val="28"/>
                <w:szCs w:val="28"/>
              </w:rPr>
            </w:pPr>
          </w:p>
        </w:tc>
        <w:tc>
          <w:tcPr>
            <w:tcW w:w="2031" w:type="dxa"/>
            <w:tcBorders>
              <w:tl2br w:val="nil"/>
              <w:tr2bl w:val="nil"/>
            </w:tcBorders>
            <w:vAlign w:val="center"/>
          </w:tcPr>
          <w:p>
            <w:pPr>
              <w:jc w:val="center"/>
              <w:rPr>
                <w:rFonts w:ascii="仿宋" w:hAnsi="仿宋" w:eastAsia="仿宋" w:cs="仿宋"/>
                <w:kern w:val="0"/>
                <w:sz w:val="28"/>
                <w:szCs w:val="28"/>
              </w:rPr>
            </w:pPr>
          </w:p>
        </w:tc>
        <w:tc>
          <w:tcPr>
            <w:tcW w:w="2031"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l2br w:val="nil"/>
              <w:tr2bl w:val="nil"/>
            </w:tcBorders>
            <w:vAlign w:val="center"/>
          </w:tcPr>
          <w:p>
            <w:pPr>
              <w:jc w:val="center"/>
              <w:rPr>
                <w:rFonts w:ascii="仿宋" w:hAnsi="仿宋" w:eastAsia="仿宋" w:cs="仿宋"/>
                <w:kern w:val="0"/>
                <w:sz w:val="28"/>
                <w:szCs w:val="28"/>
              </w:rPr>
            </w:pPr>
          </w:p>
        </w:tc>
        <w:tc>
          <w:tcPr>
            <w:tcW w:w="3186" w:type="dxa"/>
            <w:tcBorders>
              <w:tl2br w:val="nil"/>
              <w:tr2bl w:val="nil"/>
            </w:tcBorders>
            <w:vAlign w:val="center"/>
          </w:tcPr>
          <w:p>
            <w:pPr>
              <w:jc w:val="center"/>
              <w:rPr>
                <w:rFonts w:ascii="仿宋" w:hAnsi="仿宋" w:eastAsia="仿宋" w:cs="仿宋"/>
                <w:kern w:val="0"/>
                <w:sz w:val="28"/>
                <w:szCs w:val="28"/>
              </w:rPr>
            </w:pPr>
          </w:p>
        </w:tc>
        <w:tc>
          <w:tcPr>
            <w:tcW w:w="2031" w:type="dxa"/>
            <w:tcBorders>
              <w:tl2br w:val="nil"/>
              <w:tr2bl w:val="nil"/>
            </w:tcBorders>
            <w:vAlign w:val="center"/>
          </w:tcPr>
          <w:p>
            <w:pPr>
              <w:jc w:val="center"/>
              <w:rPr>
                <w:rFonts w:ascii="仿宋" w:hAnsi="仿宋" w:eastAsia="仿宋" w:cs="仿宋"/>
                <w:kern w:val="0"/>
                <w:sz w:val="28"/>
                <w:szCs w:val="28"/>
              </w:rPr>
            </w:pPr>
          </w:p>
        </w:tc>
        <w:tc>
          <w:tcPr>
            <w:tcW w:w="2031"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l2br w:val="nil"/>
              <w:tr2bl w:val="nil"/>
            </w:tcBorders>
            <w:vAlign w:val="center"/>
          </w:tcPr>
          <w:p>
            <w:pPr>
              <w:jc w:val="center"/>
              <w:rPr>
                <w:rFonts w:ascii="仿宋" w:hAnsi="仿宋" w:eastAsia="仿宋" w:cs="仿宋"/>
                <w:kern w:val="0"/>
                <w:sz w:val="28"/>
                <w:szCs w:val="28"/>
              </w:rPr>
            </w:pPr>
          </w:p>
        </w:tc>
        <w:tc>
          <w:tcPr>
            <w:tcW w:w="3186" w:type="dxa"/>
            <w:tcBorders>
              <w:tl2br w:val="nil"/>
              <w:tr2bl w:val="nil"/>
            </w:tcBorders>
            <w:vAlign w:val="center"/>
          </w:tcPr>
          <w:p>
            <w:pPr>
              <w:jc w:val="center"/>
              <w:rPr>
                <w:rFonts w:ascii="仿宋" w:hAnsi="仿宋" w:eastAsia="仿宋" w:cs="仿宋"/>
                <w:kern w:val="0"/>
                <w:sz w:val="28"/>
                <w:szCs w:val="28"/>
              </w:rPr>
            </w:pPr>
          </w:p>
        </w:tc>
        <w:tc>
          <w:tcPr>
            <w:tcW w:w="2031" w:type="dxa"/>
            <w:tcBorders>
              <w:tl2br w:val="nil"/>
              <w:tr2bl w:val="nil"/>
            </w:tcBorders>
            <w:vAlign w:val="center"/>
          </w:tcPr>
          <w:p>
            <w:pPr>
              <w:jc w:val="center"/>
              <w:rPr>
                <w:rFonts w:ascii="仿宋" w:hAnsi="仿宋" w:eastAsia="仿宋" w:cs="仿宋"/>
                <w:kern w:val="0"/>
                <w:sz w:val="28"/>
                <w:szCs w:val="28"/>
              </w:rPr>
            </w:pPr>
          </w:p>
        </w:tc>
        <w:tc>
          <w:tcPr>
            <w:tcW w:w="2031"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tcBorders>
              <w:tl2br w:val="nil"/>
              <w:tr2bl w:val="nil"/>
            </w:tcBorders>
            <w:vAlign w:val="center"/>
          </w:tcPr>
          <w:p>
            <w:pPr>
              <w:jc w:val="center"/>
              <w:rPr>
                <w:rFonts w:ascii="仿宋" w:hAnsi="仿宋" w:eastAsia="仿宋" w:cs="仿宋"/>
                <w:kern w:val="0"/>
                <w:sz w:val="28"/>
                <w:szCs w:val="28"/>
              </w:rPr>
            </w:pPr>
          </w:p>
        </w:tc>
        <w:tc>
          <w:tcPr>
            <w:tcW w:w="3186" w:type="dxa"/>
            <w:tcBorders>
              <w:tl2br w:val="nil"/>
              <w:tr2bl w:val="nil"/>
            </w:tcBorders>
            <w:vAlign w:val="center"/>
          </w:tcPr>
          <w:p>
            <w:pPr>
              <w:jc w:val="center"/>
              <w:rPr>
                <w:rFonts w:ascii="仿宋" w:hAnsi="仿宋" w:eastAsia="仿宋" w:cs="仿宋"/>
                <w:kern w:val="0"/>
                <w:sz w:val="28"/>
                <w:szCs w:val="28"/>
              </w:rPr>
            </w:pPr>
          </w:p>
        </w:tc>
        <w:tc>
          <w:tcPr>
            <w:tcW w:w="2031" w:type="dxa"/>
            <w:tcBorders>
              <w:tl2br w:val="nil"/>
              <w:tr2bl w:val="nil"/>
            </w:tcBorders>
            <w:vAlign w:val="center"/>
          </w:tcPr>
          <w:p>
            <w:pPr>
              <w:jc w:val="center"/>
              <w:rPr>
                <w:rFonts w:ascii="仿宋" w:hAnsi="仿宋" w:eastAsia="仿宋" w:cs="仿宋"/>
                <w:kern w:val="0"/>
                <w:sz w:val="28"/>
                <w:szCs w:val="28"/>
              </w:rPr>
            </w:pPr>
          </w:p>
        </w:tc>
        <w:tc>
          <w:tcPr>
            <w:tcW w:w="2031"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c>
          <w:tcPr>
            <w:tcW w:w="2032" w:type="dxa"/>
            <w:tcBorders>
              <w:tl2br w:val="nil"/>
              <w:tr2bl w:val="nil"/>
            </w:tcBorders>
            <w:vAlign w:val="center"/>
          </w:tcPr>
          <w:p>
            <w:pPr>
              <w:jc w:val="center"/>
              <w:rPr>
                <w:rFonts w:ascii="仿宋" w:hAnsi="仿宋" w:eastAsia="仿宋" w:cs="仿宋"/>
                <w:kern w:val="0"/>
                <w:sz w:val="28"/>
                <w:szCs w:val="28"/>
              </w:rPr>
            </w:pPr>
          </w:p>
        </w:tc>
      </w:tr>
    </w:tbl>
    <w:p>
      <w:pPr>
        <w:rPr>
          <w:rFonts w:ascii="仿宋" w:hAnsi="仿宋" w:eastAsia="仿宋" w:cs="仿宋"/>
          <w:kern w:val="0"/>
          <w:sz w:val="28"/>
          <w:szCs w:val="28"/>
        </w:rPr>
      </w:pPr>
    </w:p>
    <w:p>
      <w:pPr>
        <w:rPr>
          <w:rFonts w:ascii="仿宋" w:hAnsi="仿宋" w:eastAsia="仿宋" w:cs="仿宋"/>
          <w:kern w:val="0"/>
          <w:sz w:val="28"/>
          <w:szCs w:val="28"/>
        </w:rPr>
      </w:pPr>
      <w:r>
        <w:rPr>
          <w:rFonts w:ascii="仿宋" w:hAnsi="仿宋" w:eastAsia="仿宋" w:cs="仿宋"/>
          <w:kern w:val="0"/>
          <w:sz w:val="28"/>
          <w:szCs w:val="28"/>
        </w:rPr>
        <w:br w:type="page"/>
      </w:r>
      <w:r>
        <w:rPr>
          <w:rFonts w:hint="eastAsia" w:ascii="仿宋" w:hAnsi="仿宋" w:eastAsia="仿宋" w:cs="仿宋"/>
          <w:kern w:val="0"/>
          <w:sz w:val="28"/>
          <w:szCs w:val="28"/>
        </w:rPr>
        <w:t>附件</w:t>
      </w:r>
      <w:r>
        <w:rPr>
          <w:rFonts w:ascii="仿宋" w:hAnsi="仿宋" w:eastAsia="仿宋" w:cs="仿宋"/>
          <w:kern w:val="0"/>
          <w:sz w:val="28"/>
          <w:szCs w:val="28"/>
        </w:rPr>
        <w:t>2</w:t>
      </w:r>
    </w:p>
    <w:p>
      <w:pPr>
        <w:snapToGrid w:val="0"/>
        <w:spacing w:line="440" w:lineRule="exact"/>
        <w:jc w:val="center"/>
        <w:rPr>
          <w:rFonts w:ascii="宋体" w:cs="宋体"/>
          <w:b/>
          <w:bCs/>
          <w:kern w:val="0"/>
          <w:sz w:val="36"/>
          <w:szCs w:val="36"/>
        </w:rPr>
      </w:pPr>
      <w:r>
        <w:rPr>
          <w:rFonts w:hint="eastAsia" w:ascii="宋体" w:hAnsi="宋体" w:cs="宋体"/>
          <w:b/>
          <w:bCs/>
          <w:kern w:val="0"/>
          <w:sz w:val="36"/>
          <w:szCs w:val="36"/>
        </w:rPr>
        <w:t>福建省工程监理与项目管理协会监理项目工作评价表</w:t>
      </w:r>
    </w:p>
    <w:p>
      <w:pPr>
        <w:snapToGrid w:val="0"/>
        <w:spacing w:line="440" w:lineRule="exact"/>
        <w:rPr>
          <w:rFonts w:ascii="仿宋" w:hAnsi="仿宋" w:eastAsia="仿宋" w:cs="宋体"/>
          <w:kern w:val="0"/>
          <w:sz w:val="24"/>
        </w:rPr>
      </w:pPr>
      <w:r>
        <w:rPr>
          <w:rFonts w:hint="eastAsia" w:ascii="仿宋" w:hAnsi="仿宋" w:eastAsia="仿宋" w:cs="宋体"/>
          <w:kern w:val="0"/>
          <w:sz w:val="24"/>
        </w:rPr>
        <w:t>工程名称：监理单位：检查时间：</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643"/>
        <w:gridCol w:w="924"/>
        <w:gridCol w:w="1090"/>
        <w:gridCol w:w="1721"/>
        <w:gridCol w:w="7061"/>
        <w:gridCol w:w="831"/>
        <w:gridCol w:w="715"/>
        <w:gridCol w:w="773"/>
        <w:gridCol w:w="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12" w:hRule="exact"/>
          <w:tblHeader/>
          <w:jc w:val="center"/>
        </w:trPr>
        <w:tc>
          <w:tcPr>
            <w:tcW w:w="643"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序号</w:t>
            </w:r>
          </w:p>
        </w:tc>
        <w:tc>
          <w:tcPr>
            <w:tcW w:w="924"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类别</w:t>
            </w:r>
          </w:p>
        </w:tc>
        <w:tc>
          <w:tcPr>
            <w:tcW w:w="1090"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计分项目</w:t>
            </w:r>
          </w:p>
        </w:tc>
        <w:tc>
          <w:tcPr>
            <w:tcW w:w="1721"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内容</w:t>
            </w:r>
          </w:p>
        </w:tc>
        <w:tc>
          <w:tcPr>
            <w:tcW w:w="7061"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检查要点</w:t>
            </w:r>
          </w:p>
        </w:tc>
        <w:tc>
          <w:tcPr>
            <w:tcW w:w="831"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应得分</w:t>
            </w:r>
          </w:p>
        </w:tc>
        <w:tc>
          <w:tcPr>
            <w:tcW w:w="715"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扣减分数</w:t>
            </w:r>
          </w:p>
        </w:tc>
        <w:tc>
          <w:tcPr>
            <w:tcW w:w="773"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实得</w:t>
            </w:r>
          </w:p>
          <w:p>
            <w:pPr>
              <w:snapToGrid w:val="0"/>
              <w:spacing w:line="260" w:lineRule="exact"/>
              <w:jc w:val="center"/>
              <w:rPr>
                <w:rFonts w:ascii="宋体" w:cs="宋体"/>
                <w:b/>
                <w:bCs/>
                <w:kern w:val="0"/>
                <w:szCs w:val="21"/>
              </w:rPr>
            </w:pPr>
            <w:r>
              <w:rPr>
                <w:rFonts w:hint="eastAsia" w:ascii="宋体" w:hAnsi="宋体" w:cs="宋体"/>
                <w:b/>
                <w:bCs/>
                <w:kern w:val="0"/>
                <w:szCs w:val="21"/>
              </w:rPr>
              <w:t>分数</w:t>
            </w:r>
          </w:p>
        </w:tc>
        <w:tc>
          <w:tcPr>
            <w:tcW w:w="776" w:type="dxa"/>
            <w:vMerge w:val="restart"/>
            <w:tcBorders>
              <w:tl2br w:val="nil"/>
              <w:tr2bl w:val="nil"/>
            </w:tcBorders>
            <w:vAlign w:val="center"/>
          </w:tcPr>
          <w:p>
            <w:pPr>
              <w:snapToGrid w:val="0"/>
              <w:spacing w:line="260" w:lineRule="exact"/>
              <w:jc w:val="center"/>
              <w:rPr>
                <w:rFonts w:ascii="宋体" w:cs="宋体"/>
                <w:b/>
                <w:bCs/>
                <w:kern w:val="0"/>
                <w:szCs w:val="21"/>
              </w:rPr>
            </w:pPr>
            <w:r>
              <w:rPr>
                <w:rFonts w:hint="eastAsia" w:ascii="宋体" w:hAnsi="宋体" w:cs="宋体"/>
                <w:b/>
                <w:bCs/>
                <w:kern w:val="0"/>
                <w:szCs w:val="21"/>
              </w:rPr>
              <w:t>检查</w:t>
            </w:r>
          </w:p>
          <w:p>
            <w:pPr>
              <w:snapToGrid w:val="0"/>
              <w:spacing w:line="260" w:lineRule="exact"/>
              <w:jc w:val="center"/>
              <w:rPr>
                <w:rFonts w:ascii="宋体" w:cs="宋体"/>
                <w:b/>
                <w:bCs/>
                <w:kern w:val="0"/>
                <w:szCs w:val="21"/>
              </w:rPr>
            </w:pPr>
            <w:r>
              <w:rPr>
                <w:rFonts w:hint="eastAsia" w:ascii="宋体" w:hAnsi="宋体" w:cs="宋体"/>
                <w:b/>
                <w:bCs/>
                <w:kern w:val="0"/>
                <w:szCs w:val="21"/>
              </w:rPr>
              <w:t>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20" w:hRule="atLeast"/>
          <w:tblHeader/>
          <w:jc w:val="center"/>
        </w:trPr>
        <w:tc>
          <w:tcPr>
            <w:tcW w:w="643" w:type="dxa"/>
            <w:vMerge w:val="continue"/>
            <w:tcBorders>
              <w:tl2br w:val="nil"/>
              <w:tr2bl w:val="nil"/>
            </w:tcBorders>
            <w:vAlign w:val="center"/>
          </w:tcPr>
          <w:p>
            <w:pPr>
              <w:snapToGrid w:val="0"/>
              <w:spacing w:line="320" w:lineRule="atLeast"/>
              <w:rPr>
                <w:rFonts w:ascii="宋体" w:cs="宋体"/>
                <w:b/>
                <w:bCs/>
                <w:kern w:val="0"/>
                <w:szCs w:val="21"/>
              </w:rPr>
            </w:pPr>
          </w:p>
        </w:tc>
        <w:tc>
          <w:tcPr>
            <w:tcW w:w="924" w:type="dxa"/>
            <w:vMerge w:val="continue"/>
            <w:tcBorders>
              <w:tl2br w:val="nil"/>
              <w:tr2bl w:val="nil"/>
            </w:tcBorders>
            <w:vAlign w:val="center"/>
          </w:tcPr>
          <w:p>
            <w:pPr>
              <w:snapToGrid w:val="0"/>
              <w:spacing w:line="320" w:lineRule="atLeast"/>
              <w:rPr>
                <w:rFonts w:ascii="宋体" w:cs="宋体"/>
                <w:b/>
                <w:bCs/>
                <w:kern w:val="0"/>
                <w:szCs w:val="21"/>
              </w:rPr>
            </w:pPr>
          </w:p>
        </w:tc>
        <w:tc>
          <w:tcPr>
            <w:tcW w:w="1090" w:type="dxa"/>
            <w:vMerge w:val="continue"/>
            <w:tcBorders>
              <w:tl2br w:val="nil"/>
              <w:tr2bl w:val="nil"/>
            </w:tcBorders>
            <w:vAlign w:val="center"/>
          </w:tcPr>
          <w:p>
            <w:pPr>
              <w:snapToGrid w:val="0"/>
              <w:spacing w:line="320" w:lineRule="atLeast"/>
              <w:rPr>
                <w:rFonts w:ascii="宋体" w:cs="宋体"/>
                <w:b/>
                <w:bCs/>
                <w:kern w:val="0"/>
                <w:szCs w:val="21"/>
              </w:rPr>
            </w:pPr>
          </w:p>
        </w:tc>
        <w:tc>
          <w:tcPr>
            <w:tcW w:w="1721" w:type="dxa"/>
            <w:vMerge w:val="continue"/>
            <w:tcBorders>
              <w:tl2br w:val="nil"/>
              <w:tr2bl w:val="nil"/>
            </w:tcBorders>
            <w:vAlign w:val="center"/>
          </w:tcPr>
          <w:p>
            <w:pPr>
              <w:snapToGrid w:val="0"/>
              <w:spacing w:line="320" w:lineRule="atLeast"/>
              <w:rPr>
                <w:rFonts w:ascii="宋体" w:cs="宋体"/>
                <w:b/>
                <w:bCs/>
                <w:kern w:val="0"/>
                <w:szCs w:val="21"/>
              </w:rPr>
            </w:pPr>
          </w:p>
        </w:tc>
        <w:tc>
          <w:tcPr>
            <w:tcW w:w="7061" w:type="dxa"/>
            <w:vMerge w:val="continue"/>
            <w:tcBorders>
              <w:tl2br w:val="nil"/>
              <w:tr2bl w:val="nil"/>
            </w:tcBorders>
            <w:vAlign w:val="center"/>
          </w:tcPr>
          <w:p>
            <w:pPr>
              <w:snapToGrid w:val="0"/>
              <w:spacing w:line="320" w:lineRule="atLeast"/>
              <w:rPr>
                <w:rFonts w:ascii="宋体" w:cs="宋体"/>
                <w:b/>
                <w:bCs/>
                <w:kern w:val="0"/>
                <w:szCs w:val="21"/>
              </w:rPr>
            </w:pPr>
          </w:p>
        </w:tc>
        <w:tc>
          <w:tcPr>
            <w:tcW w:w="831" w:type="dxa"/>
            <w:vMerge w:val="continue"/>
            <w:tcBorders>
              <w:tl2br w:val="nil"/>
              <w:tr2bl w:val="nil"/>
            </w:tcBorders>
            <w:vAlign w:val="center"/>
          </w:tcPr>
          <w:p>
            <w:pPr>
              <w:snapToGrid w:val="0"/>
              <w:spacing w:line="320" w:lineRule="atLeast"/>
              <w:rPr>
                <w:rFonts w:ascii="宋体" w:cs="宋体"/>
                <w:b/>
                <w:bCs/>
                <w:kern w:val="0"/>
                <w:szCs w:val="21"/>
              </w:rPr>
            </w:pPr>
          </w:p>
        </w:tc>
        <w:tc>
          <w:tcPr>
            <w:tcW w:w="715" w:type="dxa"/>
            <w:vMerge w:val="continue"/>
            <w:tcBorders>
              <w:tl2br w:val="nil"/>
              <w:tr2bl w:val="nil"/>
            </w:tcBorders>
            <w:vAlign w:val="center"/>
          </w:tcPr>
          <w:p>
            <w:pPr>
              <w:snapToGrid w:val="0"/>
              <w:spacing w:line="320" w:lineRule="atLeast"/>
              <w:rPr>
                <w:rFonts w:ascii="宋体" w:cs="宋体"/>
                <w:b/>
                <w:bCs/>
                <w:kern w:val="0"/>
                <w:szCs w:val="21"/>
              </w:rPr>
            </w:pPr>
          </w:p>
        </w:tc>
        <w:tc>
          <w:tcPr>
            <w:tcW w:w="773" w:type="dxa"/>
            <w:vMerge w:val="continue"/>
            <w:tcBorders>
              <w:tl2br w:val="nil"/>
              <w:tr2bl w:val="nil"/>
            </w:tcBorders>
            <w:vAlign w:val="center"/>
          </w:tcPr>
          <w:p>
            <w:pPr>
              <w:snapToGrid w:val="0"/>
              <w:spacing w:line="320" w:lineRule="atLeast"/>
              <w:rPr>
                <w:rFonts w:ascii="宋体" w:cs="宋体"/>
                <w:b/>
                <w:bCs/>
                <w:kern w:val="0"/>
                <w:szCs w:val="21"/>
              </w:rPr>
            </w:pPr>
          </w:p>
        </w:tc>
        <w:tc>
          <w:tcPr>
            <w:tcW w:w="776" w:type="dxa"/>
            <w:vMerge w:val="continue"/>
            <w:tcBorders>
              <w:tl2br w:val="nil"/>
              <w:tr2bl w:val="nil"/>
            </w:tcBorders>
            <w:vAlign w:val="center"/>
          </w:tcPr>
          <w:p>
            <w:pPr>
              <w:snapToGrid w:val="0"/>
              <w:spacing w:line="320" w:lineRule="atLeast"/>
              <w:rPr>
                <w:rFonts w:ascii="宋体" w:cs="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93"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w:t>
            </w:r>
          </w:p>
        </w:tc>
        <w:tc>
          <w:tcPr>
            <w:tcW w:w="924"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项目监理机构、人员及制度（</w:t>
            </w:r>
            <w:r>
              <w:rPr>
                <w:rFonts w:ascii="宋体" w:hAnsi="宋体" w:cs="宋体"/>
                <w:kern w:val="0"/>
                <w:szCs w:val="21"/>
              </w:rPr>
              <w:t>40</w:t>
            </w:r>
            <w:r>
              <w:rPr>
                <w:rFonts w:hint="eastAsia" w:ascii="宋体" w:hAnsi="宋体" w:cs="宋体"/>
                <w:kern w:val="0"/>
                <w:szCs w:val="21"/>
              </w:rPr>
              <w:t>分）</w:t>
            </w: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管理人员到位</w:t>
            </w: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总监、总代、专监履职</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在工程施工阶段，总监、总代、专监长期不在施工现场履职</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10</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8"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备案人员</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项目监理部人员在岗人数少于备案人数中应在岗人数</w:t>
            </w:r>
            <w:r>
              <w:rPr>
                <w:rFonts w:ascii="宋体" w:hAnsi="宋体" w:cs="宋体"/>
                <w:kern w:val="0"/>
                <w:szCs w:val="21"/>
              </w:rPr>
              <w:t>2/3</w:t>
            </w:r>
            <w:r>
              <w:rPr>
                <w:rFonts w:hint="eastAsia" w:ascii="宋体" w:hAnsi="宋体" w:cs="宋体"/>
                <w:kern w:val="0"/>
                <w:szCs w:val="21"/>
              </w:rPr>
              <w:t>；实际到位人员与备案人员不符，未履行变更手续</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6</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16"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人员分工</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岗位职责不明确或人员分工不清，不清楚自己职责</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08"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合同及证件管理</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现场无监理合同、合同与招标文件不一致的阴阳合同</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5"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280" w:lineRule="exact"/>
              <w:rPr>
                <w:rFonts w:ascii="宋体" w:cs="宋体"/>
                <w:kern w:val="0"/>
                <w:szCs w:val="21"/>
              </w:rPr>
            </w:pPr>
            <w:r>
              <w:rPr>
                <w:rFonts w:hint="eastAsia" w:ascii="宋体" w:hAnsi="宋体" w:cs="宋体"/>
                <w:kern w:val="0"/>
                <w:szCs w:val="21"/>
              </w:rPr>
              <w:t>国注证件过期，未继续教育换证，人员证件企业名称不一致未办理变更、聘用手续不符合规定</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65"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6</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项目监理机构</w:t>
            </w: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监理部组建文件</w:t>
            </w:r>
          </w:p>
        </w:tc>
        <w:tc>
          <w:tcPr>
            <w:tcW w:w="7061" w:type="dxa"/>
            <w:tcBorders>
              <w:tl2br w:val="nil"/>
              <w:tr2bl w:val="nil"/>
            </w:tcBorders>
            <w:shd w:val="clear" w:color="000000" w:fill="FFFFFF"/>
            <w:vAlign w:val="center"/>
          </w:tcPr>
          <w:p>
            <w:pPr>
              <w:snapToGrid w:val="0"/>
              <w:spacing w:line="280" w:lineRule="exact"/>
              <w:rPr>
                <w:rFonts w:ascii="宋体" w:cs="宋体"/>
                <w:kern w:val="0"/>
                <w:szCs w:val="21"/>
              </w:rPr>
            </w:pPr>
            <w:r>
              <w:rPr>
                <w:rFonts w:hint="eastAsia" w:ascii="宋体" w:hAnsi="宋体" w:cs="宋体"/>
                <w:kern w:val="0"/>
                <w:szCs w:val="21"/>
              </w:rPr>
              <w:t>现场监理部无总监任命、总代授权书、项目人员备案登记表、中标通知书、监理合同、项目章启用等组建文件，每少一项扣</w:t>
            </w:r>
            <w:r>
              <w:rPr>
                <w:rFonts w:ascii="宋体" w:hAnsi="宋体" w:cs="宋体"/>
                <w:kern w:val="0"/>
                <w:szCs w:val="21"/>
              </w:rPr>
              <w:t>0.5</w:t>
            </w:r>
            <w:r>
              <w:rPr>
                <w:rFonts w:hint="eastAsia" w:ascii="宋体" w:hAnsi="宋体" w:cs="宋体"/>
                <w:kern w:val="0"/>
                <w:szCs w:val="21"/>
              </w:rPr>
              <w:t>分；</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62"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7</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项目部布设</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规章制度、职责上墙、统一安全帽及佩戴不完善，每少一项扣</w:t>
            </w:r>
            <w:r>
              <w:rPr>
                <w:rFonts w:ascii="宋体" w:hAnsi="宋体" w:cs="宋体"/>
                <w:kern w:val="0"/>
                <w:szCs w:val="21"/>
              </w:rPr>
              <w:t>0.5</w:t>
            </w:r>
            <w:r>
              <w:rPr>
                <w:rFonts w:hint="eastAsia" w:ascii="宋体" w:hAnsi="宋体" w:cs="宋体"/>
                <w:kern w:val="0"/>
                <w:szCs w:val="21"/>
              </w:rPr>
              <w:t>分；</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2"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8</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工程质量终身责任承诺书</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项目负责人未签署工程质量终身责任承诺书</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04"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9</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管理制度</w:t>
            </w: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公司制度</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未制定安全质量监理制度、对安全隐患的检查处理制度及生产安全事故处理制度等</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82"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10</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监理单位检查</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监理单位未按主管部门要求对所监理的建设工程进行巡查</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6</w:t>
            </w:r>
          </w:p>
        </w:tc>
        <w:tc>
          <w:tcPr>
            <w:tcW w:w="715"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0"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11</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监理单位检查的责令整改单反映的问题无具体部位或开展检查未留下可追溯记录照片或视频的</w:t>
            </w:r>
          </w:p>
        </w:tc>
        <w:tc>
          <w:tcPr>
            <w:tcW w:w="831" w:type="dxa"/>
            <w:vMerge w:val="continue"/>
            <w:tcBorders>
              <w:tl2br w:val="nil"/>
              <w:tr2bl w:val="nil"/>
            </w:tcBorders>
            <w:vAlign w:val="center"/>
          </w:tcPr>
          <w:p>
            <w:pPr>
              <w:snapToGrid w:val="0"/>
              <w:spacing w:line="320" w:lineRule="atLeast"/>
              <w:jc w:val="center"/>
              <w:rPr>
                <w:rFonts w:ascii="宋体" w:cs="宋体"/>
                <w:kern w:val="0"/>
                <w:szCs w:val="21"/>
              </w:rPr>
            </w:pPr>
          </w:p>
        </w:tc>
        <w:tc>
          <w:tcPr>
            <w:tcW w:w="715" w:type="dxa"/>
            <w:vMerge w:val="continue"/>
            <w:tcBorders>
              <w:tl2br w:val="nil"/>
              <w:tr2bl w:val="nil"/>
            </w:tcBorders>
            <w:vAlign w:val="center"/>
          </w:tcPr>
          <w:p>
            <w:pPr>
              <w:snapToGrid w:val="0"/>
              <w:spacing w:line="320" w:lineRule="atLeast"/>
              <w:jc w:val="center"/>
              <w:rPr>
                <w:rFonts w:ascii="宋体" w:cs="宋体"/>
                <w:kern w:val="0"/>
                <w:szCs w:val="21"/>
              </w:rPr>
            </w:pPr>
          </w:p>
        </w:tc>
        <w:tc>
          <w:tcPr>
            <w:tcW w:w="773" w:type="dxa"/>
            <w:vMerge w:val="continue"/>
            <w:tcBorders>
              <w:tl2br w:val="nil"/>
              <w:tr2bl w:val="nil"/>
            </w:tcBorders>
            <w:vAlign w:val="center"/>
          </w:tcPr>
          <w:p>
            <w:pPr>
              <w:snapToGrid w:val="0"/>
              <w:spacing w:line="320" w:lineRule="atLeast"/>
              <w:jc w:val="center"/>
              <w:rPr>
                <w:rFonts w:ascii="宋体" w:cs="宋体"/>
                <w:kern w:val="0"/>
                <w:szCs w:val="21"/>
              </w:rPr>
            </w:pPr>
          </w:p>
        </w:tc>
        <w:tc>
          <w:tcPr>
            <w:tcW w:w="776" w:type="dxa"/>
            <w:vMerge w:val="continue"/>
            <w:tcBorders>
              <w:tl2br w:val="nil"/>
              <w:tr2bl w:val="nil"/>
            </w:tcBorders>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39"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12</w:t>
            </w:r>
          </w:p>
        </w:tc>
        <w:tc>
          <w:tcPr>
            <w:tcW w:w="924"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监理资料管理</w:t>
            </w:r>
            <w:r>
              <w:rPr>
                <w:rFonts w:ascii="宋体" w:hAnsi="宋体" w:cs="宋体"/>
                <w:kern w:val="0"/>
                <w:szCs w:val="21"/>
              </w:rPr>
              <w:t>(14</w:t>
            </w:r>
            <w:r>
              <w:rPr>
                <w:rFonts w:hint="eastAsia" w:ascii="宋体" w:hAnsi="宋体" w:cs="宋体"/>
                <w:kern w:val="0"/>
                <w:szCs w:val="21"/>
              </w:rPr>
              <w:t>分</w:t>
            </w:r>
            <w:r>
              <w:rPr>
                <w:rFonts w:ascii="宋体" w:hAnsi="宋体" w:cs="宋体"/>
                <w:kern w:val="0"/>
                <w:szCs w:val="21"/>
              </w:rPr>
              <w:t>)</w:t>
            </w:r>
          </w:p>
        </w:tc>
        <w:tc>
          <w:tcPr>
            <w:tcW w:w="2811" w:type="dxa"/>
            <w:gridSpan w:val="2"/>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资料整理</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现场资料未分类组卷存档管理；资料存档不完整</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00"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13</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监理规划、旁站方案及细则</w:t>
            </w: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监理规划、旁站方案、细则</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监理规划、实施细则针对性、操作性不强或未根据工程、法规标准的变化及时修订或存在违反规范标准等明显错误的，扣</w:t>
            </w:r>
            <w:r>
              <w:rPr>
                <w:rFonts w:ascii="宋体" w:hAnsi="宋体" w:cs="宋体"/>
                <w:kern w:val="0"/>
                <w:szCs w:val="21"/>
              </w:rPr>
              <w:t>2-4</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6</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80"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14</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危险性较大的分部分项工程、“四新”工程等未列入监理规划和细则，实施细则未明确重要（关键）部位</w:t>
            </w:r>
            <w:r>
              <w:rPr>
                <w:rFonts w:ascii="宋体" w:hAnsi="宋体" w:cs="宋体"/>
                <w:kern w:val="0"/>
                <w:szCs w:val="21"/>
              </w:rPr>
              <w:t>/</w:t>
            </w:r>
            <w:r>
              <w:rPr>
                <w:rFonts w:hint="eastAsia" w:ascii="宋体" w:hAnsi="宋体" w:cs="宋体"/>
                <w:kern w:val="0"/>
                <w:szCs w:val="21"/>
              </w:rPr>
              <w:t>环节及其控制措施，扣</w:t>
            </w:r>
            <w:r>
              <w:rPr>
                <w:rFonts w:ascii="宋体" w:hAnsi="宋体" w:cs="宋体"/>
                <w:kern w:val="0"/>
                <w:szCs w:val="21"/>
              </w:rPr>
              <w:t>3-5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72"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15</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监理企业技术负责人未对监理规划审核及盖公司章，项目总监未审核批准监理细则，扣</w:t>
            </w:r>
            <w:r>
              <w:rPr>
                <w:rFonts w:ascii="宋体" w:hAnsi="宋体" w:cs="宋体"/>
                <w:kern w:val="0"/>
                <w:szCs w:val="21"/>
              </w:rPr>
              <w:t>2-3</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02"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16</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关键部位、关键工序工程质量旁站监理方案未及时编制，扣</w:t>
            </w:r>
            <w:r>
              <w:rPr>
                <w:rFonts w:ascii="宋体" w:hAnsi="宋体" w:cs="宋体"/>
                <w:kern w:val="0"/>
                <w:szCs w:val="21"/>
              </w:rPr>
              <w:t>3-4</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65"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17</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监理记录</w:t>
            </w: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监理日志、巡视记录</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记录不真实、不及时、不全面，未体现监理作为，扣</w:t>
            </w:r>
            <w:r>
              <w:rPr>
                <w:rFonts w:ascii="宋体" w:hAnsi="宋体" w:cs="宋体"/>
                <w:kern w:val="0"/>
                <w:szCs w:val="21"/>
              </w:rPr>
              <w:t>1-5</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12"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18</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无总监巡视记录，监理日志无总监审阅，扣</w:t>
            </w:r>
            <w:r>
              <w:rPr>
                <w:rFonts w:ascii="宋体" w:hAnsi="宋体" w:cs="宋体"/>
                <w:kern w:val="0"/>
                <w:szCs w:val="21"/>
              </w:rPr>
              <w:t>2-3</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72"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19</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监理月报</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未及时编制监理月报，总监未审阅签署，扣</w:t>
            </w:r>
            <w:r>
              <w:rPr>
                <w:rFonts w:ascii="宋体" w:hAnsi="宋体" w:cs="宋体"/>
                <w:kern w:val="0"/>
                <w:szCs w:val="21"/>
              </w:rPr>
              <w:t>1-3</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4"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20</w:t>
            </w:r>
          </w:p>
        </w:tc>
        <w:tc>
          <w:tcPr>
            <w:tcW w:w="924"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监理工作实施（</w:t>
            </w:r>
            <w:r>
              <w:rPr>
                <w:rFonts w:ascii="宋体" w:hAnsi="宋体" w:cs="宋体"/>
                <w:kern w:val="0"/>
                <w:szCs w:val="21"/>
              </w:rPr>
              <w:t>46</w:t>
            </w:r>
            <w:r>
              <w:rPr>
                <w:rFonts w:hint="eastAsia" w:ascii="宋体" w:hAnsi="宋体" w:cs="宋体"/>
                <w:kern w:val="0"/>
                <w:szCs w:val="21"/>
              </w:rPr>
              <w:t>分）</w:t>
            </w: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前期阶段监理工作</w:t>
            </w: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开工及测量成果</w:t>
            </w:r>
          </w:p>
          <w:p>
            <w:pPr>
              <w:snapToGrid w:val="0"/>
              <w:spacing w:line="320" w:lineRule="atLeast"/>
              <w:rPr>
                <w:rFonts w:ascii="宋体" w:cs="宋体"/>
                <w:kern w:val="0"/>
                <w:szCs w:val="21"/>
              </w:rPr>
            </w:pPr>
            <w:r>
              <w:rPr>
                <w:rFonts w:hint="eastAsia" w:ascii="宋体" w:hAnsi="宋体" w:cs="宋体"/>
                <w:kern w:val="0"/>
                <w:szCs w:val="21"/>
              </w:rPr>
              <w:t>审查</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无开工生产条件审查、无开工报告、总监未签署意见、签章手续不全、未报建设单位审批；无监理对测量成果的检查记录；扣</w:t>
            </w:r>
            <w:r>
              <w:rPr>
                <w:rFonts w:ascii="宋体" w:hAnsi="宋体" w:cs="宋体"/>
                <w:kern w:val="0"/>
                <w:szCs w:val="21"/>
              </w:rPr>
              <w:t>1-3</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93" w:hRule="atLeast"/>
          <w:jc w:val="center"/>
        </w:trPr>
        <w:tc>
          <w:tcPr>
            <w:tcW w:w="643"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21</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施工组织设计审查</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专业监理工程师、总监未签署审查意见；审查不认真，存在重大问题或遗漏情况未及时要求纠正；扣</w:t>
            </w:r>
            <w:r>
              <w:rPr>
                <w:rFonts w:ascii="宋体" w:hAnsi="宋体" w:cs="宋体"/>
                <w:kern w:val="0"/>
                <w:szCs w:val="21"/>
              </w:rPr>
              <w:t>2-3</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87"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22</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专项方案审查</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对危险性较大及超过一定规模危险性较大的分部分项工程无专项方案；超过一定规模危险性较大的分部分项工程未召开专家论证会、论证后未按专家要求修正复审；对规范及地方等要求编制专项方案的未督促编制；扣</w:t>
            </w:r>
            <w:r>
              <w:rPr>
                <w:rFonts w:ascii="宋体" w:hAnsi="宋体" w:cs="宋体"/>
                <w:kern w:val="0"/>
                <w:szCs w:val="21"/>
              </w:rPr>
              <w:t>3-5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470"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23</w:t>
            </w:r>
          </w:p>
        </w:tc>
        <w:tc>
          <w:tcPr>
            <w:tcW w:w="924"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监理工作实施（</w:t>
            </w:r>
            <w:r>
              <w:rPr>
                <w:rFonts w:ascii="宋体" w:hAnsi="宋体" w:cs="宋体"/>
                <w:kern w:val="0"/>
                <w:szCs w:val="21"/>
              </w:rPr>
              <w:t>46</w:t>
            </w:r>
            <w:r>
              <w:rPr>
                <w:rFonts w:hint="eastAsia" w:ascii="宋体" w:hAnsi="宋体" w:cs="宋体"/>
                <w:kern w:val="0"/>
                <w:szCs w:val="21"/>
              </w:rPr>
              <w:t>分）</w:t>
            </w: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前期阶段监理工作</w:t>
            </w: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总、分包单位资格审核</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按监理规范要求对总、分包单位资格审查、未对质量、安全保证体系、人员资质进行审查；未审查安全生产许可证；分包单位审核不全，未对检测、商混、监测等单位资格审核；审核签字手续不全；未审查特种作业人员资格证；扣</w:t>
            </w:r>
            <w:r>
              <w:rPr>
                <w:rFonts w:ascii="宋体" w:hAnsi="宋体" w:cs="宋体"/>
                <w:kern w:val="0"/>
                <w:szCs w:val="21"/>
              </w:rPr>
              <w:t>2-4</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1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24</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图纸会审、设计交底</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无监理图纸自审记录、无图纸会审记录、总监及专监会审记录签字不全、签章不全；扣</w:t>
            </w:r>
            <w:r>
              <w:rPr>
                <w:rFonts w:ascii="宋体" w:hAnsi="宋体" w:cs="宋体"/>
                <w:kern w:val="0"/>
                <w:szCs w:val="21"/>
              </w:rPr>
              <w:t>2-3</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25</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第一次工地例会</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总监、专监等主要监理人员未按监理规范要求参加第一次工地例会；无签字记录；扣</w:t>
            </w:r>
            <w:r>
              <w:rPr>
                <w:rFonts w:ascii="宋体" w:hAnsi="宋体" w:cs="宋体"/>
                <w:kern w:val="0"/>
                <w:szCs w:val="21"/>
              </w:rPr>
              <w:t>1-3</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35"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26</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质量控制</w:t>
            </w: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材料检查验收</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未审查工程材料、构配件、设备质量证明文件；材料进场未复检投入使用；材料检测频率不足；无见证取样台账或见证取样台账不全；</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6"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27</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旁站监理</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无旁站监理实施细则或旁站内容不全；未按细则开展监理旁站工作，对关键节点、关键部位、关键工序施工质量未进行旁站记录；旁站记录不全面不真实</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34"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28</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平行检验</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未按规定对工程施工进行平行检验、平行检验数据不真实，存在弄虚作假</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0"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29</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工程验收</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对涉及结构安全及使用功能的分部工程未督促施工单位按规定进行相关检测（包括功能检测）；扣</w:t>
            </w:r>
            <w:r>
              <w:rPr>
                <w:rFonts w:ascii="宋体" w:hAnsi="宋体" w:cs="宋体"/>
                <w:kern w:val="0"/>
                <w:szCs w:val="21"/>
              </w:rPr>
              <w:t>4</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79"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30</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未及时组织各种隐蔽工程与检验批、分项、分部工程验收和单位工程预验收；重要分部（子分部）等验收记录未见总监签字的；总监未参加竣工验收；扣</w:t>
            </w:r>
            <w:r>
              <w:rPr>
                <w:rFonts w:ascii="宋体" w:hAnsi="宋体" w:cs="宋体"/>
                <w:kern w:val="0"/>
                <w:szCs w:val="21"/>
              </w:rPr>
              <w:t>4</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76"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31</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验收程序不符合规定，专业监理工程师签字不全，存在的问题未按要求整改，验收结论不正确；扣</w:t>
            </w:r>
            <w:r>
              <w:rPr>
                <w:rFonts w:ascii="宋体" w:hAnsi="宋体" w:cs="宋体"/>
                <w:kern w:val="0"/>
                <w:szCs w:val="21"/>
              </w:rPr>
              <w:t>2-4</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32</w:t>
            </w:r>
          </w:p>
        </w:tc>
        <w:tc>
          <w:tcPr>
            <w:tcW w:w="924"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监理工作实施（</w:t>
            </w:r>
            <w:r>
              <w:rPr>
                <w:rFonts w:ascii="宋体" w:hAnsi="宋体" w:cs="宋体"/>
                <w:kern w:val="0"/>
                <w:szCs w:val="21"/>
              </w:rPr>
              <w:t>46</w:t>
            </w:r>
            <w:r>
              <w:rPr>
                <w:rFonts w:hint="eastAsia" w:ascii="宋体" w:hAnsi="宋体" w:cs="宋体"/>
                <w:kern w:val="0"/>
                <w:szCs w:val="21"/>
              </w:rPr>
              <w:t>分）</w:t>
            </w: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质量控制</w:t>
            </w: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工程验收</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将不合格建筑材料、构配件、设备或（隐蔽、分部分项）工程按照合格签认；扣</w:t>
            </w:r>
            <w:r>
              <w:rPr>
                <w:rFonts w:ascii="宋体" w:hAnsi="宋体" w:cs="宋体"/>
                <w:kern w:val="0"/>
                <w:szCs w:val="21"/>
              </w:rPr>
              <w:t>3-5</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33</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未按设计图纸及变更施工的，未及时发现、未及时督促整改；未建立设计变更台账的，扣</w:t>
            </w:r>
            <w:r>
              <w:rPr>
                <w:rFonts w:ascii="宋体" w:hAnsi="宋体" w:cs="宋体"/>
                <w:kern w:val="0"/>
                <w:szCs w:val="21"/>
              </w:rPr>
              <w:t>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0"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34</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质量问题处理</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对违反质量管理法规或操作规程的行为未及时制止；扣</w:t>
            </w:r>
            <w:r>
              <w:rPr>
                <w:rFonts w:ascii="宋体" w:hAnsi="宋体" w:cs="宋体"/>
                <w:kern w:val="0"/>
                <w:szCs w:val="21"/>
              </w:rPr>
              <w:t>2-4</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35</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对不合格建筑材料、构配件设备未责令核验、整改或未见证退场办理退场手续；扣</w:t>
            </w:r>
            <w:r>
              <w:rPr>
                <w:rFonts w:ascii="宋体" w:hAnsi="宋体" w:cs="宋体"/>
                <w:kern w:val="0"/>
                <w:szCs w:val="21"/>
              </w:rPr>
              <w:t>2-4</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15"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36</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未能发现严重质量隐患或质量缺陷，或不合格材料已经使用于工程；扣</w:t>
            </w:r>
            <w:r>
              <w:rPr>
                <w:rFonts w:ascii="宋体" w:hAnsi="宋体" w:cs="宋体"/>
                <w:kern w:val="0"/>
                <w:szCs w:val="21"/>
              </w:rPr>
              <w:t>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37</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对质量事故隐患未要求责任单位整改，情况严重的未要求施工单位暂时停止施工并报告建设单位；扣</w:t>
            </w:r>
            <w:r>
              <w:rPr>
                <w:rFonts w:ascii="宋体" w:hAnsi="宋体" w:cs="宋体"/>
                <w:kern w:val="0"/>
                <w:szCs w:val="21"/>
              </w:rPr>
              <w:t>2-5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38</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施工单位对质量事故隐患拒不整改或不停止施工的，未及时向有关主管部门报告；扣</w:t>
            </w:r>
            <w:r>
              <w:rPr>
                <w:rFonts w:ascii="宋体" w:hAnsi="宋体" w:cs="宋体"/>
                <w:kern w:val="0"/>
                <w:szCs w:val="21"/>
              </w:rPr>
              <w:t>2</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39</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未督促施工单位落实监督机构、建设单位或监理单位的整改要求，或未对整改落实情况进行复查；扣</w:t>
            </w:r>
            <w:r>
              <w:rPr>
                <w:rFonts w:ascii="宋体" w:hAnsi="宋体" w:cs="宋体"/>
                <w:kern w:val="0"/>
                <w:szCs w:val="21"/>
              </w:rPr>
              <w:t>2-4</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40</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安全文明管理</w:t>
            </w: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专项方案执行</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未按审批通过的危险性较大及超过一定规模危险性较大的分部分项工程方案施工，未及时发现、未及时督促整改</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29"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41</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旁站、巡视</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无旁站或旁站内容不全；未按旁站方案开展监理旁站工作，对重大危险源、超过一定规模危险性较大的分部分项工程未进行旁站；旁站记录不全面不真实；扣</w:t>
            </w:r>
            <w:r>
              <w:rPr>
                <w:rFonts w:ascii="宋体" w:hAnsi="宋体" w:cs="宋体"/>
                <w:kern w:val="0"/>
                <w:szCs w:val="21"/>
              </w:rPr>
              <w:t>2-5</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4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42</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无定期安全监理巡视记录，安全巡视记录不全尤其是对危险性较大的分部分项工程的巡视；扣</w:t>
            </w:r>
            <w:r>
              <w:rPr>
                <w:rFonts w:ascii="宋体" w:hAnsi="宋体" w:cs="宋体"/>
                <w:kern w:val="0"/>
                <w:szCs w:val="21"/>
              </w:rPr>
              <w:t>2-5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20"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43</w:t>
            </w:r>
          </w:p>
        </w:tc>
        <w:tc>
          <w:tcPr>
            <w:tcW w:w="924"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监理工作实施（</w:t>
            </w:r>
            <w:r>
              <w:rPr>
                <w:rFonts w:ascii="宋体" w:hAnsi="宋体" w:cs="宋体"/>
                <w:kern w:val="0"/>
                <w:szCs w:val="21"/>
              </w:rPr>
              <w:t>46</w:t>
            </w:r>
            <w:r>
              <w:rPr>
                <w:rFonts w:hint="eastAsia" w:ascii="宋体" w:hAnsi="宋体" w:cs="宋体"/>
                <w:kern w:val="0"/>
                <w:szCs w:val="21"/>
              </w:rPr>
              <w:t>分）</w:t>
            </w: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安全文明管理</w:t>
            </w: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安全验收</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危险性较大的分部分项工程验收（含塔吊、施工电梯、基坑、模板、脚手架、拆除等‘危大工程管理规定’的分部分项工程）内容、验收人员等不符合要求；扣</w:t>
            </w:r>
            <w:r>
              <w:rPr>
                <w:rFonts w:ascii="宋体" w:hAnsi="宋体" w:cs="宋体"/>
                <w:kern w:val="0"/>
                <w:szCs w:val="21"/>
              </w:rPr>
              <w:t>3-5</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44</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临时用电、外脚手架、模板支撑等未及时验收或无验收手续；扣</w:t>
            </w:r>
            <w:r>
              <w:rPr>
                <w:rFonts w:ascii="宋体" w:hAnsi="宋体" w:cs="宋体"/>
                <w:kern w:val="0"/>
                <w:szCs w:val="21"/>
              </w:rPr>
              <w:t>3-5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45</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安全文明措施费台账</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未建立安全文明措施费使用台账，未监督施工单位安全文明措施费使用情况</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46</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安全演练</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未督促施工单位定期对消防、临电及重大危险源组织安全演练</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1</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020"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47</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材料检查</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未对安全施工使用的材料（如安全网耐火性、观感；活动板房防火；钢管、扣件等）及扣件式钢管支撑扭力矩（尤其是高大模板）等进行监理检查，无监理检查记录</w:t>
            </w:r>
          </w:p>
        </w:tc>
        <w:tc>
          <w:tcPr>
            <w:tcW w:w="831"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3</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48</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安全问题处理</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对违反安全管理法规或操作规程的行为不及时制止；扣</w:t>
            </w:r>
            <w:r>
              <w:rPr>
                <w:rFonts w:ascii="宋体" w:hAnsi="宋体" w:cs="宋体"/>
                <w:kern w:val="0"/>
                <w:szCs w:val="21"/>
              </w:rPr>
              <w:t>2-4</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w:t>
            </w:r>
          </w:p>
        </w:tc>
        <w:tc>
          <w:tcPr>
            <w:tcW w:w="715"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jc w:val="center"/>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8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49</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未能发现严重安全隐患或不合格安全材料已经使用于工程；扣</w:t>
            </w:r>
            <w:r>
              <w:rPr>
                <w:rFonts w:ascii="宋体" w:hAnsi="宋体" w:cs="宋体"/>
                <w:kern w:val="0"/>
                <w:szCs w:val="21"/>
              </w:rPr>
              <w:t>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50</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对安全事故隐患未要求责任单位整改，情况严重的未要求施工单位暂时停止施工并及时报告建设单位；扣</w:t>
            </w:r>
            <w:r>
              <w:rPr>
                <w:rFonts w:ascii="宋体" w:hAnsi="宋体" w:cs="宋体"/>
                <w:kern w:val="0"/>
                <w:szCs w:val="21"/>
              </w:rPr>
              <w:t>3-5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51</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施工单位对安全事故隐患拒不整改或不停止施工的，未及时向有关主管部门报告；扣</w:t>
            </w:r>
            <w:r>
              <w:rPr>
                <w:rFonts w:ascii="宋体" w:hAnsi="宋体" w:cs="宋体"/>
                <w:kern w:val="0"/>
                <w:szCs w:val="21"/>
              </w:rPr>
              <w:t>1</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1150"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52</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未及时上报安全事故或重大安全险情（包括基坑监测中，出现超预警值的，未上报或组织相关单位研究采取对应措施）；扣</w:t>
            </w:r>
            <w:r>
              <w:rPr>
                <w:rFonts w:ascii="宋体" w:hAnsi="宋体" w:cs="宋体"/>
                <w:kern w:val="0"/>
                <w:szCs w:val="21"/>
              </w:rPr>
              <w:t>3-5</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53</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未督促施工单位落实监督机构、建设单位或监理单位的整改要求，或未对整改落实情况进行复查；扣</w:t>
            </w:r>
            <w:r>
              <w:rPr>
                <w:rFonts w:ascii="宋体" w:hAnsi="宋体" w:cs="宋体"/>
                <w:kern w:val="0"/>
                <w:szCs w:val="21"/>
              </w:rPr>
              <w:t>3</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93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54</w:t>
            </w:r>
          </w:p>
        </w:tc>
        <w:tc>
          <w:tcPr>
            <w:tcW w:w="924"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监理工作实施（</w:t>
            </w:r>
            <w:r>
              <w:rPr>
                <w:rFonts w:ascii="宋体" w:hAnsi="宋体" w:cs="宋体"/>
                <w:kern w:val="0"/>
                <w:szCs w:val="21"/>
              </w:rPr>
              <w:t>46</w:t>
            </w:r>
            <w:r>
              <w:rPr>
                <w:rFonts w:hint="eastAsia" w:ascii="宋体" w:hAnsi="宋体" w:cs="宋体"/>
                <w:kern w:val="0"/>
                <w:szCs w:val="21"/>
              </w:rPr>
              <w:t>分）</w:t>
            </w:r>
          </w:p>
        </w:tc>
        <w:tc>
          <w:tcPr>
            <w:tcW w:w="1090" w:type="dxa"/>
            <w:vMerge w:val="restart"/>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进度投资控制</w:t>
            </w: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进度计划审查</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无进度计划或未对进度计划进行审查的；扣</w:t>
            </w:r>
            <w:r>
              <w:rPr>
                <w:rFonts w:ascii="宋体" w:hAnsi="宋体" w:cs="宋体"/>
                <w:kern w:val="0"/>
                <w:szCs w:val="21"/>
              </w:rPr>
              <w:t>1-2</w:t>
            </w:r>
            <w:r>
              <w:rPr>
                <w:rFonts w:hint="eastAsia" w:ascii="宋体" w:hAnsi="宋体" w:cs="宋体"/>
                <w:kern w:val="0"/>
                <w:szCs w:val="21"/>
              </w:rPr>
              <w:t>分；</w:t>
            </w:r>
          </w:p>
        </w:tc>
        <w:tc>
          <w:tcPr>
            <w:tcW w:w="831" w:type="dxa"/>
            <w:vMerge w:val="restart"/>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2</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7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55</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090"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172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工期滞后监理措施</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由于施工单位原因导致工期滞后，监理单位未及时提出书面指令督促其整改的；扣</w:t>
            </w:r>
            <w:r>
              <w:rPr>
                <w:rFonts w:ascii="宋体" w:hAnsi="宋体" w:cs="宋体"/>
                <w:kern w:val="0"/>
                <w:szCs w:val="21"/>
              </w:rPr>
              <w:t>1</w:t>
            </w:r>
            <w:r>
              <w:rPr>
                <w:rFonts w:hint="eastAsia" w:ascii="宋体" w:hAnsi="宋体" w:cs="宋体"/>
                <w:kern w:val="0"/>
                <w:szCs w:val="21"/>
              </w:rPr>
              <w:t>分；</w:t>
            </w:r>
          </w:p>
        </w:tc>
        <w:tc>
          <w:tcPr>
            <w:tcW w:w="831" w:type="dxa"/>
            <w:vMerge w:val="continue"/>
            <w:tcBorders>
              <w:tl2br w:val="nil"/>
              <w:tr2bl w:val="nil"/>
            </w:tcBorders>
            <w:shd w:val="clear" w:color="auto" w:fill="auto"/>
            <w:vAlign w:val="center"/>
          </w:tcPr>
          <w:p>
            <w:pPr>
              <w:snapToGrid w:val="0"/>
              <w:spacing w:line="320" w:lineRule="atLeast"/>
              <w:jc w:val="center"/>
              <w:rPr>
                <w:rFonts w:ascii="宋体" w:cs="宋体"/>
                <w:kern w:val="0"/>
                <w:szCs w:val="21"/>
              </w:rPr>
            </w:pP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72" w:hRule="atLeast"/>
          <w:jc w:val="center"/>
        </w:trPr>
        <w:tc>
          <w:tcPr>
            <w:tcW w:w="638" w:type="dxa"/>
            <w:tcBorders>
              <w:tl2br w:val="nil"/>
              <w:tr2bl w:val="nil"/>
            </w:tcBorders>
            <w:shd w:val="clear" w:color="000000" w:fill="FFFFFF"/>
            <w:vAlign w:val="center"/>
          </w:tcPr>
          <w:p>
            <w:pPr>
              <w:snapToGrid w:val="0"/>
              <w:spacing w:line="320" w:lineRule="atLeast"/>
              <w:jc w:val="center"/>
              <w:rPr>
                <w:rFonts w:ascii="宋体" w:cs="宋体"/>
                <w:kern w:val="0"/>
                <w:szCs w:val="21"/>
              </w:rPr>
            </w:pPr>
            <w:r>
              <w:rPr>
                <w:rFonts w:ascii="宋体" w:hAnsi="宋体" w:cs="宋体"/>
                <w:kern w:val="0"/>
                <w:szCs w:val="21"/>
              </w:rPr>
              <w:t>56</w:t>
            </w:r>
          </w:p>
        </w:tc>
        <w:tc>
          <w:tcPr>
            <w:tcW w:w="924" w:type="dxa"/>
            <w:vMerge w:val="continue"/>
            <w:tcBorders>
              <w:tl2br w:val="nil"/>
              <w:tr2bl w:val="nil"/>
            </w:tcBorders>
            <w:shd w:val="clear" w:color="auto" w:fill="auto"/>
            <w:vAlign w:val="center"/>
          </w:tcPr>
          <w:p>
            <w:pPr>
              <w:snapToGrid w:val="0"/>
              <w:spacing w:line="320" w:lineRule="atLeast"/>
              <w:rPr>
                <w:rFonts w:ascii="宋体" w:cs="宋体"/>
                <w:kern w:val="0"/>
                <w:szCs w:val="21"/>
              </w:rPr>
            </w:pPr>
          </w:p>
        </w:tc>
        <w:tc>
          <w:tcPr>
            <w:tcW w:w="2811" w:type="dxa"/>
            <w:gridSpan w:val="2"/>
            <w:tcBorders>
              <w:tl2br w:val="nil"/>
              <w:tr2bl w:val="nil"/>
            </w:tcBorders>
            <w:shd w:val="clear" w:color="auto" w:fill="auto"/>
            <w:vAlign w:val="center"/>
          </w:tcPr>
          <w:p>
            <w:pPr>
              <w:snapToGrid w:val="0"/>
              <w:spacing w:line="320" w:lineRule="atLeast"/>
              <w:rPr>
                <w:rFonts w:ascii="宋体" w:cs="宋体"/>
                <w:kern w:val="0"/>
                <w:szCs w:val="21"/>
              </w:rPr>
            </w:pPr>
            <w:r>
              <w:rPr>
                <w:rFonts w:hint="eastAsia" w:ascii="宋体" w:hAnsi="宋体" w:cs="宋体"/>
                <w:kern w:val="0"/>
                <w:szCs w:val="21"/>
              </w:rPr>
              <w:t>协调管理</w:t>
            </w:r>
          </w:p>
        </w:tc>
        <w:tc>
          <w:tcPr>
            <w:tcW w:w="706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未按规定召开工地例会或专题会议协调解决质量安全问题的；扣</w:t>
            </w:r>
            <w:r>
              <w:rPr>
                <w:rFonts w:ascii="宋体" w:hAnsi="宋体" w:cs="宋体"/>
                <w:kern w:val="0"/>
                <w:szCs w:val="21"/>
              </w:rPr>
              <w:t>1</w:t>
            </w:r>
            <w:r>
              <w:rPr>
                <w:rFonts w:hint="eastAsia" w:ascii="宋体" w:hAnsi="宋体" w:cs="宋体"/>
                <w:kern w:val="0"/>
                <w:szCs w:val="21"/>
              </w:rPr>
              <w:t>分；</w:t>
            </w:r>
          </w:p>
        </w:tc>
        <w:tc>
          <w:tcPr>
            <w:tcW w:w="831" w:type="dxa"/>
            <w:tcBorders>
              <w:tl2br w:val="nil"/>
              <w:tr2bl w:val="nil"/>
            </w:tcBorders>
            <w:shd w:val="clear" w:color="auto" w:fill="auto"/>
            <w:vAlign w:val="center"/>
          </w:tcPr>
          <w:p>
            <w:pPr>
              <w:snapToGrid w:val="0"/>
              <w:spacing w:line="320" w:lineRule="atLeast"/>
              <w:jc w:val="center"/>
              <w:rPr>
                <w:rFonts w:ascii="宋体" w:cs="宋体"/>
                <w:kern w:val="0"/>
                <w:szCs w:val="21"/>
              </w:rPr>
            </w:pPr>
            <w:r>
              <w:rPr>
                <w:rFonts w:ascii="宋体" w:hAnsi="宋体" w:cs="宋体"/>
                <w:kern w:val="0"/>
                <w:szCs w:val="21"/>
              </w:rPr>
              <w:t>1</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721" w:hRule="atLeast"/>
          <w:jc w:val="center"/>
        </w:trPr>
        <w:tc>
          <w:tcPr>
            <w:tcW w:w="11434" w:type="dxa"/>
            <w:gridSpan w:val="5"/>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总分</w:t>
            </w:r>
          </w:p>
        </w:tc>
        <w:tc>
          <w:tcPr>
            <w:tcW w:w="831"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15"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3"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c>
          <w:tcPr>
            <w:tcW w:w="776" w:type="dxa"/>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81" w:hRule="atLeast"/>
          <w:jc w:val="center"/>
        </w:trPr>
        <w:tc>
          <w:tcPr>
            <w:tcW w:w="11434" w:type="dxa"/>
            <w:gridSpan w:val="5"/>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得分率</w:t>
            </w:r>
            <w:r>
              <w:rPr>
                <w:rFonts w:ascii="宋体" w:hAnsi="宋体" w:cs="宋体"/>
                <w:kern w:val="0"/>
                <w:szCs w:val="21"/>
              </w:rPr>
              <w:t>=</w:t>
            </w:r>
            <w:r>
              <w:rPr>
                <w:rFonts w:hint="eastAsia" w:ascii="宋体" w:hAnsi="宋体" w:cs="宋体"/>
                <w:kern w:val="0"/>
                <w:szCs w:val="21"/>
              </w:rPr>
              <w:t>（实际得分</w:t>
            </w:r>
            <w:r>
              <w:rPr>
                <w:rFonts w:ascii="宋体" w:hAnsi="宋体" w:cs="宋体"/>
                <w:kern w:val="0"/>
                <w:szCs w:val="21"/>
              </w:rPr>
              <w:t>/</w:t>
            </w:r>
            <w:r>
              <w:rPr>
                <w:rFonts w:hint="eastAsia" w:ascii="宋体" w:hAnsi="宋体" w:cs="宋体"/>
                <w:kern w:val="0"/>
                <w:szCs w:val="21"/>
              </w:rPr>
              <w:t>应得分数）</w:t>
            </w:r>
            <w:r>
              <w:rPr>
                <w:rFonts w:ascii="宋体" w:hAnsi="宋体" w:cs="宋体"/>
                <w:kern w:val="0"/>
                <w:szCs w:val="21"/>
              </w:rPr>
              <w:t>*100</w:t>
            </w:r>
          </w:p>
        </w:tc>
        <w:tc>
          <w:tcPr>
            <w:tcW w:w="3095" w:type="dxa"/>
            <w:gridSpan w:val="4"/>
            <w:tcBorders>
              <w:tl2br w:val="nil"/>
              <w:tr2bl w:val="nil"/>
            </w:tcBorders>
            <w:shd w:val="clear" w:color="000000" w:fill="FFFFFF"/>
            <w:vAlign w:val="center"/>
          </w:tcPr>
          <w:p>
            <w:pPr>
              <w:snapToGrid w:val="0"/>
              <w:spacing w:line="320" w:lineRule="atLeast"/>
              <w:rPr>
                <w:rFonts w:ascii="宋体" w:cs="宋体"/>
                <w:kern w:val="0"/>
                <w:szCs w:val="21"/>
              </w:rPr>
            </w:pPr>
            <w:r>
              <w:rPr>
                <w:rFonts w:hint="eastAsia" w:ascii="宋体" w:hAnsi="宋体" w:cs="宋体"/>
                <w:kern w:val="0"/>
                <w:szCs w:val="21"/>
              </w:rPr>
              <w:t>　</w:t>
            </w:r>
          </w:p>
        </w:tc>
      </w:tr>
    </w:tbl>
    <w:p>
      <w:pPr>
        <w:spacing w:line="160" w:lineRule="exact"/>
        <w:rPr>
          <w:rFonts w:ascii="宋体" w:hAnsi="宋体" w:cs="宋体"/>
          <w:kern w:val="0"/>
          <w:szCs w:val="21"/>
        </w:rPr>
      </w:pPr>
    </w:p>
    <w:p>
      <w:pPr>
        <w:spacing w:line="340" w:lineRule="exact"/>
        <w:rPr>
          <w:rFonts w:ascii="宋体" w:cs="宋体"/>
          <w:kern w:val="0"/>
          <w:szCs w:val="21"/>
        </w:rPr>
      </w:pPr>
      <w:r>
        <w:rPr>
          <w:rFonts w:hint="eastAsia" w:ascii="宋体" w:hAnsi="宋体" w:cs="宋体"/>
          <w:kern w:val="0"/>
          <w:szCs w:val="21"/>
        </w:rPr>
        <w:t>说明：</w:t>
      </w:r>
      <w:r>
        <w:rPr>
          <w:rFonts w:ascii="宋体" w:hAnsi="宋体" w:cs="宋体"/>
          <w:kern w:val="0"/>
          <w:szCs w:val="21"/>
        </w:rPr>
        <w:t>1</w:t>
      </w:r>
      <w:r>
        <w:rPr>
          <w:rFonts w:hint="eastAsia" w:ascii="宋体" w:hAnsi="宋体" w:cs="宋体"/>
          <w:kern w:val="0"/>
          <w:szCs w:val="21"/>
        </w:rPr>
        <w:t>、计分项目各检查内容累计扣分不得超过该计分项目应得分；</w:t>
      </w:r>
    </w:p>
    <w:p>
      <w:pPr>
        <w:snapToGrid w:val="0"/>
        <w:spacing w:line="340" w:lineRule="exact"/>
        <w:ind w:firstLine="630" w:firstLineChars="300"/>
        <w:rPr>
          <w:rFonts w:ascii="宋体" w:cs="宋体"/>
          <w:kern w:val="0"/>
          <w:szCs w:val="21"/>
        </w:rPr>
      </w:pPr>
      <w:r>
        <w:rPr>
          <w:rFonts w:ascii="宋体" w:hAnsi="宋体" w:cs="宋体"/>
          <w:kern w:val="0"/>
          <w:szCs w:val="21"/>
        </w:rPr>
        <w:t>2</w:t>
      </w:r>
      <w:r>
        <w:rPr>
          <w:rFonts w:hint="eastAsia" w:ascii="宋体" w:hAnsi="宋体" w:cs="宋体"/>
          <w:kern w:val="0"/>
          <w:szCs w:val="21"/>
        </w:rPr>
        <w:t>、检查时缺项部分不参与评分，应得分和实得分均为零分；</w:t>
      </w:r>
    </w:p>
    <w:p>
      <w:pPr>
        <w:snapToGrid w:val="0"/>
        <w:spacing w:line="340" w:lineRule="exact"/>
        <w:ind w:firstLine="630" w:firstLineChars="300"/>
        <w:rPr>
          <w:rFonts w:ascii="宋体" w:hAnsi="宋体" w:cs="宋体"/>
          <w:kern w:val="0"/>
          <w:szCs w:val="21"/>
        </w:rPr>
      </w:pPr>
      <w:r>
        <w:rPr>
          <w:rFonts w:ascii="宋体" w:hAnsi="宋体" w:cs="宋体"/>
          <w:kern w:val="0"/>
          <w:szCs w:val="21"/>
        </w:rPr>
        <w:t>3</w:t>
      </w:r>
      <w:r>
        <w:rPr>
          <w:rFonts w:hint="eastAsia" w:ascii="宋体" w:hAnsi="宋体" w:cs="宋体"/>
          <w:kern w:val="0"/>
          <w:szCs w:val="21"/>
        </w:rPr>
        <w:t>、本检查评分表得分率在</w:t>
      </w:r>
      <w:r>
        <w:rPr>
          <w:rFonts w:ascii="宋体" w:hAnsi="宋体" w:cs="宋体"/>
          <w:kern w:val="0"/>
          <w:szCs w:val="21"/>
        </w:rPr>
        <w:t>85</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为优秀，</w:t>
      </w:r>
      <w:r>
        <w:rPr>
          <w:rFonts w:ascii="宋体" w:hAnsi="宋体" w:cs="宋体"/>
          <w:kern w:val="0"/>
          <w:szCs w:val="21"/>
        </w:rPr>
        <w:t>75</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为良好，</w:t>
      </w:r>
      <w:r>
        <w:rPr>
          <w:rFonts w:ascii="宋体" w:hAnsi="宋体" w:cs="宋体"/>
          <w:kern w:val="0"/>
          <w:szCs w:val="21"/>
        </w:rPr>
        <w:t>60</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为合格，低于</w:t>
      </w:r>
      <w:r>
        <w:rPr>
          <w:rFonts w:ascii="宋体" w:hAnsi="宋体" w:cs="宋体"/>
          <w:kern w:val="0"/>
          <w:szCs w:val="21"/>
        </w:rPr>
        <w:t>60</w:t>
      </w:r>
      <w:r>
        <w:rPr>
          <w:rFonts w:hint="eastAsia" w:ascii="宋体" w:hAnsi="宋体" w:cs="宋体"/>
          <w:kern w:val="0"/>
          <w:szCs w:val="21"/>
        </w:rPr>
        <w:t>为不合格。</w:t>
      </w:r>
    </w:p>
    <w:p>
      <w:pPr>
        <w:snapToGrid w:val="0"/>
        <w:spacing w:line="340" w:lineRule="exact"/>
        <w:ind w:firstLine="630" w:firstLineChars="300"/>
        <w:rPr>
          <w:rFonts w:ascii="宋体" w:hAnsi="宋体" w:cs="宋体"/>
          <w:kern w:val="0"/>
          <w:szCs w:val="21"/>
        </w:rPr>
      </w:pPr>
    </w:p>
    <w:p>
      <w:pPr>
        <w:widowControl/>
        <w:jc w:val="center"/>
        <w:rPr>
          <w:rFonts w:ascii="仿宋" w:hAnsi="仿宋" w:eastAsia="仿宋" w:cs="宋体"/>
          <w:kern w:val="0"/>
          <w:sz w:val="32"/>
          <w:szCs w:val="32"/>
        </w:rPr>
      </w:pPr>
    </w:p>
    <w:sectPr>
      <w:footerReference r:id="rId3" w:type="default"/>
      <w:pgSz w:w="16838" w:h="11906"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1</w:t>
                          </w:r>
                          <w:r>
                            <w:rPr>
                              <w:rFonts w:hint="eastAsia" w:ascii="宋体" w:hAnsi="宋体" w:cs="宋体"/>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2"/>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1</w:t>
                    </w:r>
                    <w:r>
                      <w:rPr>
                        <w:rFonts w:hint="eastAsia" w:ascii="宋体" w:hAnsi="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MTY5OTE3MTFhOGNjYjRmN2MzMWQ3YTA0NTg1MDcifQ=="/>
  </w:docVars>
  <w:rsids>
    <w:rsidRoot w:val="00C54166"/>
    <w:rsid w:val="00016DC7"/>
    <w:rsid w:val="002C2BC9"/>
    <w:rsid w:val="00401ACE"/>
    <w:rsid w:val="005A7D62"/>
    <w:rsid w:val="00687901"/>
    <w:rsid w:val="0085342B"/>
    <w:rsid w:val="009041FD"/>
    <w:rsid w:val="00912048"/>
    <w:rsid w:val="00913DBF"/>
    <w:rsid w:val="00933FDF"/>
    <w:rsid w:val="00C54166"/>
    <w:rsid w:val="00CF0391"/>
    <w:rsid w:val="00D81AF5"/>
    <w:rsid w:val="00DE7557"/>
    <w:rsid w:val="369E39D3"/>
    <w:rsid w:val="7C7D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16"/>
    <w:uiPriority w:val="0"/>
    <w:rPr>
      <w:rFonts w:hint="default" w:ascii="Times New Roman" w:hAnsi="Times New Roman" w:cs="Times New Roman"/>
    </w:rPr>
  </w:style>
  <w:style w:type="paragraph" w:styleId="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8">
    <w:name w:val="页眉 Char"/>
    <w:basedOn w:val="5"/>
    <w:link w:val="3"/>
    <w:semiHidden/>
    <w:uiPriority w:val="99"/>
    <w:rPr>
      <w:rFonts w:ascii="Times New Roman" w:hAnsi="Times New Roman" w:eastAsia="宋体" w:cs="Times New Roman"/>
      <w:sz w:val="18"/>
      <w:szCs w:val="18"/>
    </w:rPr>
  </w:style>
  <w:style w:type="character" w:customStyle="1" w:styleId="9">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3103</Words>
  <Characters>3230</Characters>
  <Lines>41</Lines>
  <Paragraphs>11</Paragraphs>
  <TotalTime>27</TotalTime>
  <ScaleCrop>false</ScaleCrop>
  <LinksUpToDate>false</LinksUpToDate>
  <CharactersWithSpaces>3344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2022-12-26T06:28:00Z</dcterms:created>
  <dc:creator>lenovo</dc:creator>
  <cp:lastModifiedBy>LENOVO</cp:lastModifiedBy>
  <dcterms:modified xsi:type="dcterms:W3CDTF">2022-12-26T08:13:42Z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E36236BB4F104E5796A6C77BD9ED4B18</vt:lpwstr>
  </property>
</Properties>
</file>